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商密令牌认证系统供应商报名材料需求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供应商应为具有相关经营范围、有资格和能力提供商密令牌认证系统的原厂商；</w:t>
      </w:r>
    </w:p>
    <w:p>
      <w:pPr>
        <w:spacing w:after="0" w:afterLines="0" w:line="360" w:lineRule="auto"/>
        <w:ind w:firstLine="480" w:firstLine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系统应具备如下功能：</w:t>
      </w:r>
    </w:p>
    <w:tbl>
      <w:tblPr>
        <w:tblStyle w:val="7"/>
        <w:tblW w:w="5000" w:type="pct"/>
        <w:tblInd w:w="0" w:type="dxa"/>
        <w:tblLayout w:type="autofit"/>
        <w:tblCellMar>
          <w:top w:w="0" w:type="dxa"/>
          <w:left w:w="108" w:type="dxa"/>
          <w:bottom w:w="0" w:type="dxa"/>
          <w:right w:w="108" w:type="dxa"/>
        </w:tblCellMar>
      </w:tblPr>
      <w:tblGrid>
        <w:gridCol w:w="1572"/>
        <w:gridCol w:w="6950"/>
      </w:tblGrid>
      <w:tr>
        <w:tblPrEx>
          <w:tblCellMar>
            <w:top w:w="0" w:type="dxa"/>
            <w:left w:w="108" w:type="dxa"/>
            <w:bottom w:w="0" w:type="dxa"/>
            <w:right w:w="108" w:type="dxa"/>
          </w:tblCellMar>
        </w:tblPrEx>
        <w:trPr>
          <w:trHeight w:val="480" w:hRule="atLeast"/>
        </w:trPr>
        <w:tc>
          <w:tcPr>
            <w:tcW w:w="922" w:type="pct"/>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ascii="宋体" w:hAnsi="宋体" w:eastAsia="宋体" w:cs="宋体"/>
                <w:b/>
                <w:bCs/>
                <w:kern w:val="0"/>
                <w:sz w:val="24"/>
              </w:rPr>
            </w:pPr>
            <w:r>
              <w:rPr>
                <w:rFonts w:hint="eastAsia" w:ascii="宋体" w:hAnsi="宋体" w:eastAsia="宋体" w:cs="宋体"/>
                <w:b/>
                <w:bCs/>
                <w:kern w:val="0"/>
                <w:sz w:val="24"/>
              </w:rPr>
              <w:t>功能项</w:t>
            </w:r>
          </w:p>
        </w:tc>
        <w:tc>
          <w:tcPr>
            <w:tcW w:w="4077" w:type="pct"/>
            <w:tcBorders>
              <w:top w:val="single" w:color="auto" w:sz="4" w:space="0"/>
              <w:left w:val="nil"/>
              <w:bottom w:val="single" w:color="auto" w:sz="4" w:space="0"/>
              <w:right w:val="single" w:color="auto" w:sz="4" w:space="0"/>
            </w:tcBorders>
            <w:shd w:val="clear" w:color="000000" w:fill="D9D9D9"/>
            <w:vAlign w:val="center"/>
          </w:tcPr>
          <w:p>
            <w:pPr>
              <w:widowControl/>
              <w:spacing w:after="0" w:afterLines="0" w:line="240" w:lineRule="auto"/>
              <w:ind w:firstLine="0" w:firstLineChars="0"/>
              <w:jc w:val="center"/>
              <w:rPr>
                <w:rFonts w:hint="eastAsia" w:ascii="宋体" w:hAnsi="宋体" w:eastAsia="宋体" w:cs="宋体"/>
                <w:b/>
                <w:bCs/>
                <w:kern w:val="0"/>
                <w:sz w:val="24"/>
              </w:rPr>
            </w:pPr>
            <w:r>
              <w:rPr>
                <w:rFonts w:hint="eastAsia" w:ascii="宋体" w:hAnsi="宋体" w:eastAsia="宋体" w:cs="宋体"/>
                <w:b/>
                <w:bCs/>
                <w:kern w:val="0"/>
                <w:sz w:val="24"/>
              </w:rPr>
              <w:t>功能描述</w:t>
            </w:r>
          </w:p>
        </w:tc>
      </w:tr>
      <w:tr>
        <w:tblPrEx>
          <w:tblCellMar>
            <w:top w:w="0" w:type="dxa"/>
            <w:left w:w="108" w:type="dxa"/>
            <w:bottom w:w="0" w:type="dxa"/>
            <w:right w:w="108" w:type="dxa"/>
          </w:tblCellMar>
        </w:tblPrEx>
        <w:trPr>
          <w:trHeight w:val="510" w:hRule="atLeast"/>
        </w:trPr>
        <w:tc>
          <w:tcPr>
            <w:tcW w:w="922" w:type="pct"/>
            <w:vMerge w:val="restart"/>
            <w:tcBorders>
              <w:top w:val="nil"/>
              <w:left w:val="single" w:color="auto" w:sz="4" w:space="0"/>
              <w:right w:val="single" w:color="auto" w:sz="4" w:space="0"/>
            </w:tcBorders>
            <w:shd w:val="clear" w:color="auto" w:fill="auto"/>
            <w:vAlign w:val="top"/>
          </w:tcPr>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产品功能</w:t>
            </w: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国密算法支持SM2、SM3、SM4等通用算法，可通过人民银行组织的商用密码评估。</w:t>
            </w:r>
          </w:p>
        </w:tc>
      </w:tr>
      <w:tr>
        <w:tblPrEx>
          <w:tblCellMar>
            <w:top w:w="0" w:type="dxa"/>
            <w:left w:w="108" w:type="dxa"/>
            <w:bottom w:w="0" w:type="dxa"/>
            <w:right w:w="108" w:type="dxa"/>
          </w:tblCellMar>
        </w:tblPrEx>
        <w:trPr>
          <w:trHeight w:val="740" w:hRule="atLeast"/>
        </w:trPr>
        <w:tc>
          <w:tcPr>
            <w:tcW w:w="922" w:type="pct"/>
            <w:vMerge w:val="continue"/>
            <w:tcBorders>
              <w:left w:val="single" w:color="auto" w:sz="4" w:space="0"/>
              <w:right w:val="single" w:color="auto" w:sz="4" w:space="0"/>
            </w:tcBorders>
            <w:shd w:val="clear" w:color="auto" w:fill="auto"/>
            <w:vAlign w:val="top"/>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themeColor="text1"/>
                <w:sz w:val="24"/>
                <w:szCs w:val="24"/>
                <w14:textFill>
                  <w14:solidFill>
                    <w14:schemeClr w14:val="tx1"/>
                  </w14:solidFill>
                </w14:textFill>
              </w:rPr>
              <w:t>支持时间型令牌、挑战型令牌及挑战</w:t>
            </w:r>
            <w:r>
              <w:rPr>
                <w:rFonts w:ascii="宋体" w:hAnsi="宋体" w:eastAsia="宋体" w:cs="Calibri"/>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时间型复合令牌。</w:t>
            </w:r>
          </w:p>
        </w:tc>
      </w:tr>
      <w:tr>
        <w:tblPrEx>
          <w:tblCellMar>
            <w:top w:w="0" w:type="dxa"/>
            <w:left w:w="108" w:type="dxa"/>
            <w:bottom w:w="0" w:type="dxa"/>
            <w:right w:w="108" w:type="dxa"/>
          </w:tblCellMar>
        </w:tblPrEx>
        <w:trPr>
          <w:trHeight w:val="510" w:hRule="atLeast"/>
        </w:trPr>
        <w:tc>
          <w:tcPr>
            <w:tcW w:w="922" w:type="pct"/>
            <w:vMerge w:val="continue"/>
            <w:tcBorders>
              <w:left w:val="single" w:color="auto" w:sz="4" w:space="0"/>
              <w:right w:val="single" w:color="auto" w:sz="4" w:space="0"/>
            </w:tcBorders>
            <w:shd w:val="clear" w:color="auto" w:fill="auto"/>
            <w:vAlign w:val="top"/>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宋体"/>
                <w:kern w:val="0"/>
                <w:sz w:val="24"/>
              </w:rPr>
            </w:pPr>
            <w:r>
              <w:rPr>
                <w:rFonts w:hint="eastAsia" w:ascii="宋体" w:hAnsi="宋体" w:eastAsia="宋体"/>
                <w:color w:val="000000" w:themeColor="text1"/>
                <w:sz w:val="24"/>
                <w:szCs w:val="24"/>
                <w14:textFill>
                  <w14:solidFill>
                    <w14:schemeClr w14:val="tx1"/>
                  </w14:solidFill>
                </w14:textFill>
              </w:rPr>
              <w:t>提供令牌种子生成、动态口令验证、短信令牌口令发送功能。</w:t>
            </w:r>
          </w:p>
        </w:tc>
      </w:tr>
      <w:tr>
        <w:tblPrEx>
          <w:tblCellMar>
            <w:top w:w="0" w:type="dxa"/>
            <w:left w:w="108" w:type="dxa"/>
            <w:bottom w:w="0" w:type="dxa"/>
            <w:right w:w="108" w:type="dxa"/>
          </w:tblCellMar>
        </w:tblPrEx>
        <w:trPr>
          <w:trHeight w:val="400" w:hRule="atLeast"/>
        </w:trPr>
        <w:tc>
          <w:tcPr>
            <w:tcW w:w="922" w:type="pct"/>
            <w:vMerge w:val="continue"/>
            <w:tcBorders>
              <w:left w:val="single" w:color="auto" w:sz="4" w:space="0"/>
              <w:right w:val="single" w:color="auto" w:sz="4" w:space="0"/>
            </w:tcBorders>
            <w:shd w:val="clear" w:color="auto" w:fill="auto"/>
            <w:vAlign w:val="top"/>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themeColor="text1"/>
                <w:sz w:val="24"/>
                <w:szCs w:val="24"/>
                <w14:textFill>
                  <w14:solidFill>
                    <w14:schemeClr w14:val="tx1"/>
                  </w14:solidFill>
                </w14:textFill>
              </w:rPr>
              <w:t>支持通过NTP协议对接时间源服务器进行时间同步。</w:t>
            </w:r>
          </w:p>
        </w:tc>
      </w:tr>
      <w:tr>
        <w:tblPrEx>
          <w:tblCellMar>
            <w:top w:w="0" w:type="dxa"/>
            <w:left w:w="108" w:type="dxa"/>
            <w:bottom w:w="0" w:type="dxa"/>
            <w:right w:w="108" w:type="dxa"/>
          </w:tblCellMar>
        </w:tblPrEx>
        <w:trPr>
          <w:trHeight w:val="400" w:hRule="atLeast"/>
        </w:trPr>
        <w:tc>
          <w:tcPr>
            <w:tcW w:w="922" w:type="pct"/>
            <w:vMerge w:val="continue"/>
            <w:tcBorders>
              <w:left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themeColor="text1"/>
                <w:sz w:val="24"/>
                <w:szCs w:val="24"/>
                <w:lang w:val="en-US" w:eastAsia="zh-CN"/>
                <w14:textFill>
                  <w14:solidFill>
                    <w14:schemeClr w14:val="tx1"/>
                  </w14:solidFill>
                </w14:textFill>
              </w:rPr>
              <w:t>支持标准的radius协议及API接口，实现与我行堡垒机及其他运维系统快速对接。</w:t>
            </w:r>
          </w:p>
        </w:tc>
      </w:tr>
      <w:tr>
        <w:tblPrEx>
          <w:tblCellMar>
            <w:top w:w="0" w:type="dxa"/>
            <w:left w:w="108" w:type="dxa"/>
            <w:bottom w:w="0" w:type="dxa"/>
            <w:right w:w="108" w:type="dxa"/>
          </w:tblCellMar>
        </w:tblPrEx>
        <w:trPr>
          <w:trHeight w:val="400" w:hRule="atLeast"/>
        </w:trPr>
        <w:tc>
          <w:tcPr>
            <w:tcW w:w="922" w:type="pct"/>
            <w:vMerge w:val="continue"/>
            <w:tcBorders>
              <w:left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themeColor="text1"/>
                <w:sz w:val="24"/>
                <w:szCs w:val="24"/>
                <w14:textFill>
                  <w14:solidFill>
                    <w14:schemeClr w14:val="tx1"/>
                  </w14:solidFill>
                </w14:textFill>
              </w:rPr>
              <w:t>提供HTTP、HTTPS协议的动态口令认证服务。</w:t>
            </w:r>
          </w:p>
        </w:tc>
      </w:tr>
      <w:tr>
        <w:tblPrEx>
          <w:tblCellMar>
            <w:top w:w="0" w:type="dxa"/>
            <w:left w:w="108" w:type="dxa"/>
            <w:bottom w:w="0" w:type="dxa"/>
            <w:right w:w="108" w:type="dxa"/>
          </w:tblCellMar>
        </w:tblPrEx>
        <w:trPr>
          <w:trHeight w:val="400" w:hRule="atLeast"/>
        </w:trPr>
        <w:tc>
          <w:tcPr>
            <w:tcW w:w="922" w:type="pct"/>
            <w:vMerge w:val="continue"/>
            <w:tcBorders>
              <w:left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需支持多中心灾备部署，，各中心间数据同步，每个中心双机冗余部署，保证系统的高可用性。</w:t>
            </w:r>
          </w:p>
        </w:tc>
      </w:tr>
      <w:tr>
        <w:tblPrEx>
          <w:tblCellMar>
            <w:top w:w="0" w:type="dxa"/>
            <w:left w:w="108" w:type="dxa"/>
            <w:bottom w:w="0" w:type="dxa"/>
            <w:right w:w="108" w:type="dxa"/>
          </w:tblCellMar>
        </w:tblPrEx>
        <w:trPr>
          <w:trHeight w:val="400" w:hRule="atLeast"/>
        </w:trPr>
        <w:tc>
          <w:tcPr>
            <w:tcW w:w="922" w:type="pct"/>
            <w:vMerge w:val="continue"/>
            <w:tcBorders>
              <w:left w:val="single" w:color="auto" w:sz="4" w:space="0"/>
              <w:bottom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需支持银行麒麟V10操作系统，符合我行基线要求</w:t>
            </w:r>
          </w:p>
        </w:tc>
      </w:tr>
      <w:tr>
        <w:tblPrEx>
          <w:tblCellMar>
            <w:top w:w="0" w:type="dxa"/>
            <w:left w:w="108" w:type="dxa"/>
            <w:bottom w:w="0" w:type="dxa"/>
            <w:right w:w="108" w:type="dxa"/>
          </w:tblCellMar>
        </w:tblPrEx>
        <w:trPr>
          <w:trHeight w:val="400" w:hRule="atLeast"/>
        </w:trPr>
        <w:tc>
          <w:tcPr>
            <w:tcW w:w="922" w:type="pct"/>
            <w:vMerge w:val="restart"/>
            <w:tcBorders>
              <w:top w:val="nil"/>
              <w:left w:val="single" w:color="auto" w:sz="4" w:space="0"/>
              <w:bottom w:val="single" w:color="auto" w:sz="4" w:space="0"/>
              <w:right w:val="single" w:color="auto" w:sz="4" w:space="0"/>
            </w:tcBorders>
            <w:vAlign w:val="top"/>
          </w:tcPr>
          <w:p>
            <w:pPr>
              <w:rPr>
                <w:rFonts w:ascii="宋体" w:hAnsi="宋体" w:eastAsia="宋体" w:cs="宋体"/>
                <w:kern w:val="0"/>
                <w:sz w:val="24"/>
              </w:rPr>
            </w:pPr>
            <w:r>
              <w:rPr>
                <w:rFonts w:hint="eastAsia" w:ascii="宋体" w:hAnsi="宋体" w:eastAsia="宋体"/>
                <w:sz w:val="24"/>
                <w:szCs w:val="24"/>
              </w:rPr>
              <w:t>种子管理</w:t>
            </w:r>
          </w:p>
        </w:tc>
        <w:tc>
          <w:tcPr>
            <w:tcW w:w="4077" w:type="pct"/>
            <w:tcBorders>
              <w:top w:val="nil"/>
              <w:left w:val="nil"/>
              <w:bottom w:val="single" w:color="auto" w:sz="4" w:space="0"/>
              <w:right w:val="single" w:color="auto" w:sz="4" w:space="0"/>
            </w:tcBorders>
            <w:shd w:val="clear" w:color="auto" w:fill="auto"/>
            <w:vAlign w:val="top"/>
          </w:tcPr>
          <w:p>
            <w:pPr>
              <w:rPr>
                <w:rFonts w:hint="eastAsia" w:ascii="宋体" w:hAnsi="宋体" w:eastAsia="宋体" w:cs="宋体"/>
                <w:kern w:val="0"/>
                <w:sz w:val="24"/>
              </w:rPr>
            </w:pPr>
            <w:r>
              <w:rPr>
                <w:rFonts w:hint="eastAsia" w:ascii="宋体" w:hAnsi="宋体" w:eastAsia="宋体"/>
                <w:color w:val="000000"/>
                <w:sz w:val="24"/>
                <w:szCs w:val="24"/>
              </w:rPr>
              <w:t>支持导出种子加密公钥，用于加密外部生成的种子文件。</w:t>
            </w:r>
          </w:p>
        </w:tc>
      </w:tr>
      <w:tr>
        <w:tblPrEx>
          <w:tblCellMar>
            <w:top w:w="0" w:type="dxa"/>
            <w:left w:w="108" w:type="dxa"/>
            <w:bottom w:w="0" w:type="dxa"/>
            <w:right w:w="108" w:type="dxa"/>
          </w:tblCellMar>
        </w:tblPrEx>
        <w:trPr>
          <w:trHeight w:val="90" w:hRule="atLeast"/>
        </w:trPr>
        <w:tc>
          <w:tcPr>
            <w:tcW w:w="922" w:type="pct"/>
            <w:vMerge w:val="continue"/>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top"/>
          </w:tcPr>
          <w:p>
            <w:pPr>
              <w:widowControl/>
              <w:rPr>
                <w:rFonts w:hint="eastAsia" w:ascii="宋体" w:hAnsi="宋体" w:eastAsia="宋体" w:cs="宋体"/>
                <w:kern w:val="0"/>
                <w:sz w:val="24"/>
              </w:rPr>
            </w:pPr>
            <w:r>
              <w:rPr>
                <w:rFonts w:hint="eastAsia" w:ascii="宋体" w:hAnsi="宋体" w:eastAsia="宋体"/>
                <w:color w:val="000000"/>
                <w:sz w:val="24"/>
                <w:szCs w:val="24"/>
              </w:rPr>
              <w:t>支持导入加密的批量种子文件，种子文件解密在服务器内部完成。</w:t>
            </w:r>
          </w:p>
        </w:tc>
      </w:tr>
      <w:tr>
        <w:tblPrEx>
          <w:tblCellMar>
            <w:top w:w="0" w:type="dxa"/>
            <w:left w:w="108" w:type="dxa"/>
            <w:bottom w:w="0" w:type="dxa"/>
            <w:right w:w="108" w:type="dxa"/>
          </w:tblCellMar>
        </w:tblPrEx>
        <w:trPr>
          <w:trHeight w:val="49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rPr>
            </w:pPr>
            <w:r>
              <w:rPr>
                <w:rFonts w:hint="eastAsia" w:ascii="宋体" w:hAnsi="宋体" w:eastAsia="宋体"/>
                <w:color w:val="000000"/>
                <w:sz w:val="24"/>
                <w:szCs w:val="24"/>
              </w:rPr>
              <w:t>支持导入种子加密公钥或证书，用于加密导出批量种子文件。</w:t>
            </w:r>
          </w:p>
        </w:tc>
      </w:tr>
      <w:tr>
        <w:tblPrEx>
          <w:tblCellMar>
            <w:top w:w="0" w:type="dxa"/>
            <w:left w:w="108" w:type="dxa"/>
            <w:bottom w:w="0" w:type="dxa"/>
            <w:right w:w="108" w:type="dxa"/>
          </w:tblCellMar>
        </w:tblPrEx>
        <w:trPr>
          <w:trHeight w:val="46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rPr>
            </w:pPr>
            <w:r>
              <w:rPr>
                <w:rFonts w:hint="eastAsia" w:ascii="宋体" w:hAnsi="宋体" w:eastAsia="宋体"/>
                <w:sz w:val="24"/>
                <w:szCs w:val="24"/>
              </w:rPr>
              <w:t>支持令牌预约作废功能。</w:t>
            </w:r>
          </w:p>
        </w:tc>
      </w:tr>
      <w:tr>
        <w:tblPrEx>
          <w:tblCellMar>
            <w:top w:w="0" w:type="dxa"/>
            <w:left w:w="108" w:type="dxa"/>
            <w:bottom w:w="0" w:type="dxa"/>
            <w:right w:w="108" w:type="dxa"/>
          </w:tblCellMar>
        </w:tblPrEx>
        <w:trPr>
          <w:trHeight w:val="460" w:hRule="atLeast"/>
        </w:trPr>
        <w:tc>
          <w:tcPr>
            <w:tcW w:w="1572" w:type="dxa"/>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olor w:val="000000"/>
                <w:sz w:val="24"/>
                <w:szCs w:val="24"/>
                <w:lang w:val="en-US" w:eastAsia="zh-CN"/>
              </w:rPr>
            </w:pPr>
            <w:r>
              <w:rPr>
                <w:rFonts w:hint="eastAsia" w:ascii="宋体" w:hAnsi="宋体" w:eastAsia="宋体"/>
                <w:color w:val="000000"/>
                <w:sz w:val="24"/>
                <w:szCs w:val="24"/>
              </w:rPr>
              <w:t>安全可靠性</w:t>
            </w:r>
          </w:p>
        </w:tc>
        <w:tc>
          <w:tcPr>
            <w:tcW w:w="695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olor w:val="000000"/>
                <w:sz w:val="24"/>
                <w:szCs w:val="24"/>
                <w:lang w:val="en-US" w:eastAsia="zh-CN"/>
              </w:rPr>
            </w:pPr>
            <w:r>
              <w:rPr>
                <w:rFonts w:hint="eastAsia" w:ascii="宋体" w:hAnsi="宋体" w:eastAsia="宋体"/>
                <w:color w:val="000000"/>
                <w:sz w:val="24"/>
                <w:szCs w:val="24"/>
              </w:rPr>
              <w:t>支持可信计算，采用专有密码设备/加密卡实现商用密码技术可信计算。系统的容错性较高，如果系统出现错误，可以返回准确的错误类型，并恢复到出错前的状态。</w:t>
            </w:r>
          </w:p>
        </w:tc>
      </w:tr>
      <w:tr>
        <w:tblPrEx>
          <w:tblCellMar>
            <w:top w:w="0" w:type="dxa"/>
            <w:left w:w="108" w:type="dxa"/>
            <w:bottom w:w="0" w:type="dxa"/>
            <w:right w:w="108" w:type="dxa"/>
          </w:tblCellMar>
        </w:tblPrEx>
        <w:trPr>
          <w:trHeight w:val="400" w:hRule="atLeast"/>
        </w:trPr>
        <w:tc>
          <w:tcPr>
            <w:tcW w:w="922" w:type="pct"/>
            <w:vMerge w:val="restart"/>
            <w:tcBorders>
              <w:top w:val="nil"/>
              <w:left w:val="single" w:color="auto" w:sz="4" w:space="0"/>
              <w:bottom w:val="single" w:color="auto" w:sz="4" w:space="0"/>
              <w:right w:val="single" w:color="auto" w:sz="4" w:space="0"/>
            </w:tcBorders>
            <w:vAlign w:val="top"/>
          </w:tcPr>
          <w:p>
            <w:pPr>
              <w:rPr>
                <w:rFonts w:ascii="宋体" w:hAnsi="宋体" w:eastAsia="宋体" w:cs="宋体"/>
                <w:b/>
                <w:bCs/>
                <w:kern w:val="0"/>
                <w:sz w:val="24"/>
              </w:rPr>
            </w:pPr>
            <w:r>
              <w:rPr>
                <w:rFonts w:hint="eastAsia" w:ascii="宋体" w:hAnsi="宋体" w:eastAsia="宋体"/>
                <w:sz w:val="24"/>
                <w:szCs w:val="24"/>
              </w:rPr>
              <w:t>认证管理</w:t>
            </w: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提供LDAP数据同步功能。</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认证服务支持SSL加密传输。</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支持直连短信网关和邮件服务器，可以通过短信或邮件向关联用户发送短信令牌动态口令。</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短信和邮件模板可以根据用户组自定义。</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支持系统登录时动态口令与静态口令验证方式一键切换功能。</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支持登录黑白名单控制机制，可自定义登录</w:t>
            </w:r>
            <w:r>
              <w:rPr>
                <w:rFonts w:hint="eastAsia" w:ascii="宋体" w:hAnsi="宋体" w:eastAsia="宋体"/>
                <w:color w:val="000000"/>
                <w:sz w:val="24"/>
                <w:szCs w:val="24"/>
                <w:lang w:val="en-US" w:eastAsia="zh-CN"/>
              </w:rPr>
              <w:t>系统</w:t>
            </w:r>
            <w:r>
              <w:rPr>
                <w:rFonts w:hint="eastAsia" w:ascii="宋体" w:hAnsi="宋体" w:eastAsia="宋体"/>
                <w:color w:val="000000"/>
                <w:sz w:val="24"/>
                <w:szCs w:val="24"/>
              </w:rPr>
              <w:t>的IP范围，防止未经授权的恶意访问。</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top"/>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lang w:val="en-US" w:eastAsia="zh-CN"/>
              </w:rPr>
              <w:t xml:space="preserve">设置授权访问系统动态口令认证功能的应用系统信息，包括：应用 ID、生成规则、口令有效期、口令长度、口令复杂度、用户锁定时间、最大连续错误次数等。 </w:t>
            </w:r>
          </w:p>
        </w:tc>
      </w:tr>
      <w:tr>
        <w:tblPrEx>
          <w:tblCellMar>
            <w:top w:w="0" w:type="dxa"/>
            <w:left w:w="108" w:type="dxa"/>
            <w:bottom w:w="0" w:type="dxa"/>
            <w:right w:w="108" w:type="dxa"/>
          </w:tblCellMar>
        </w:tblPrEx>
        <w:trPr>
          <w:trHeight w:val="330" w:hRule="atLeast"/>
        </w:trPr>
        <w:tc>
          <w:tcPr>
            <w:tcW w:w="922" w:type="pct"/>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管理功能</w:t>
            </w: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提供WebUI管理界面，支持管理员角色和权限管理，至少内置系统管理员、账号管理员和审计管理员</w:t>
            </w:r>
            <w:r>
              <w:rPr>
                <w:rFonts w:hint="eastAsia" w:ascii="宋体" w:hAnsi="宋体" w:eastAsia="宋体"/>
                <w:color w:val="000000"/>
                <w:sz w:val="24"/>
                <w:szCs w:val="24"/>
                <w:lang w:val="en-US" w:eastAsia="zh-CN"/>
              </w:rPr>
              <w:t>三</w:t>
            </w:r>
            <w:r>
              <w:rPr>
                <w:rFonts w:hint="eastAsia" w:ascii="宋体" w:hAnsi="宋体" w:eastAsia="宋体"/>
                <w:color w:val="000000"/>
                <w:sz w:val="24"/>
                <w:szCs w:val="24"/>
              </w:rPr>
              <w:t>种角色。</w:t>
            </w:r>
          </w:p>
        </w:tc>
      </w:tr>
      <w:tr>
        <w:tblPrEx>
          <w:tblCellMar>
            <w:top w:w="0" w:type="dxa"/>
            <w:left w:w="108" w:type="dxa"/>
            <w:bottom w:w="0" w:type="dxa"/>
            <w:right w:w="108" w:type="dxa"/>
          </w:tblCellMar>
        </w:tblPrEx>
        <w:trPr>
          <w:trHeight w:val="400" w:hRule="atLeast"/>
        </w:trPr>
        <w:tc>
          <w:tcPr>
            <w:tcW w:w="922" w:type="pct"/>
            <w:vMerge w:val="restart"/>
            <w:tcBorders>
              <w:top w:val="nil"/>
              <w:left w:val="single" w:color="auto" w:sz="4" w:space="0"/>
              <w:bottom w:val="single" w:color="auto" w:sz="4" w:space="0"/>
              <w:right w:val="single" w:color="auto" w:sz="4" w:space="0"/>
            </w:tcBorders>
            <w:vAlign w:val="center"/>
          </w:tcPr>
          <w:p>
            <w:pPr>
              <w:rPr>
                <w:rFonts w:ascii="宋体" w:hAnsi="宋体" w:eastAsia="宋体" w:cs="宋体"/>
                <w:b/>
                <w:bCs/>
                <w:kern w:val="0"/>
                <w:sz w:val="24"/>
              </w:rPr>
            </w:pPr>
            <w:r>
              <w:rPr>
                <w:rFonts w:hint="eastAsia" w:ascii="宋体" w:hAnsi="宋体" w:eastAsia="宋体"/>
                <w:sz w:val="24"/>
                <w:szCs w:val="24"/>
              </w:rPr>
              <w:t>运维审计</w:t>
            </w: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提供日志和审计功能，可分类审计系统日志，对日志进行审计和统计。</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sz w:val="24"/>
                <w:szCs w:val="24"/>
              </w:rPr>
              <w:t>支持Syslog日志导出功能。</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b/>
                <w:bCs/>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支持HA双机热备和负载均衡的部署模式。</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rPr>
            </w:pPr>
            <w:r>
              <w:rPr>
                <w:rFonts w:hint="eastAsia" w:ascii="宋体" w:hAnsi="宋体" w:eastAsia="宋体"/>
                <w:color w:val="000000"/>
                <w:sz w:val="24"/>
                <w:szCs w:val="24"/>
              </w:rPr>
              <w:t>提供一键巡检功能，自动对系统软、硬件进行健康检查并生成巡检报告。</w:t>
            </w:r>
          </w:p>
        </w:tc>
      </w:tr>
      <w:tr>
        <w:tblPrEx>
          <w:tblCellMar>
            <w:top w:w="0" w:type="dxa"/>
            <w:left w:w="108" w:type="dxa"/>
            <w:bottom w:w="0" w:type="dxa"/>
            <w:right w:w="108" w:type="dxa"/>
          </w:tblCellMar>
        </w:tblPrEx>
        <w:trPr>
          <w:trHeight w:val="400" w:hRule="atLeast"/>
        </w:trPr>
        <w:tc>
          <w:tcPr>
            <w:tcW w:w="922" w:type="pct"/>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kern w:val="0"/>
                <w:sz w:val="24"/>
              </w:rPr>
            </w:pPr>
          </w:p>
        </w:tc>
        <w:tc>
          <w:tcPr>
            <w:tcW w:w="4077"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rPr>
            </w:pPr>
            <w:r>
              <w:rPr>
                <w:rFonts w:hint="eastAsia" w:ascii="宋体" w:hAnsi="宋体" w:eastAsia="宋体"/>
                <w:color w:val="000000"/>
                <w:sz w:val="24"/>
                <w:szCs w:val="24"/>
              </w:rPr>
              <w:t>提供系统监控功能，可实时监控CPU、内存和硬盘使用情况，并支持SNMP远程监控。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sz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提供近五年（2020年1月1日至今）参与本次报名产品同系列产品的采购合同案例，包括：采购合同首页、采购产品内容/配置页</w:t>
      </w:r>
      <w:bookmarkStart w:id="0" w:name="_GoBack"/>
      <w:bookmarkEnd w:id="0"/>
      <w:r>
        <w:rPr>
          <w:rFonts w:hint="eastAsia" w:ascii="Times New Roman" w:hAnsi="Times New Roman" w:eastAsia="仿宋_GB2312" w:cs="仿宋_GB2312"/>
          <w:sz w:val="32"/>
          <w:lang w:val="en-US" w:eastAsia="zh-CN"/>
        </w:rPr>
        <w:t>、甲乙双方盖章页。上述材料如果为复印件，需要加盖原厂商公章，如果提供的材料为多页，还需要在每页加盖骑缝章。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提供商密令牌认证系统系统商密认证资质证书、业务稳定性指标技术白皮书、使用手册等材料；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提供其他供应商认为需要反馈的材料；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请供应商按上述要求提供报名材料。对于无法提供的内容，也请具体说明原因；</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8"/>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商密令牌认证系统案例情况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7"/>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关于商密令牌认证系统建设调研项目的授权书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0"/>
                <w:lang w:val="en-US" w:eastAsia="zh-CN" w:bidi="ar"/>
              </w:rPr>
            </w:pPr>
            <w:r>
              <w:rPr>
                <w:rStyle w:val="10"/>
                <w:lang w:val="en-US" w:eastAsia="zh-CN" w:bidi="ar"/>
              </w:rPr>
              <w:t>中国农业发展银行：</w:t>
            </w:r>
            <w:r>
              <w:rPr>
                <w:rStyle w:val="10"/>
                <w:lang w:val="en-US" w:eastAsia="zh-CN" w:bidi="ar"/>
              </w:rPr>
              <w:br w:type="textWrapping"/>
            </w:r>
            <w:r>
              <w:rPr>
                <w:rStyle w:val="10"/>
                <w:lang w:val="en-US" w:eastAsia="zh-CN" w:bidi="ar"/>
              </w:rPr>
              <w:t xml:space="preserve"> </w:t>
            </w:r>
            <w:r>
              <w:rPr>
                <w:rStyle w:val="10"/>
                <w:rFonts w:hint="eastAsia"/>
                <w:lang w:val="en-US" w:eastAsia="zh-CN" w:bidi="ar"/>
              </w:rPr>
              <w:t xml:space="preserve"> </w:t>
            </w:r>
            <w:r>
              <w:rPr>
                <w:rStyle w:val="10"/>
                <w:lang w:val="en-US" w:eastAsia="zh-CN" w:bidi="ar"/>
              </w:rPr>
              <w:t xml:space="preserve">  今通过公开发布渠道知悉贵行拟开展</w:t>
            </w:r>
            <w:r>
              <w:rPr>
                <w:rStyle w:val="10"/>
                <w:rFonts w:hint="eastAsia"/>
                <w:lang w:val="en-US" w:eastAsia="zh-CN" w:bidi="ar"/>
              </w:rPr>
              <w:t>商密令牌认证系统建设</w:t>
            </w:r>
            <w:r>
              <w:rPr>
                <w:rStyle w:val="10"/>
                <w:lang w:val="en-US" w:eastAsia="zh-CN" w:bidi="ar"/>
              </w:rPr>
              <w:t>方案制订工作，现授权我公司xxx人员和贵司经办人员开展以上工作，并在整个项目经办过程承诺如下：</w:t>
            </w:r>
            <w:r>
              <w:rPr>
                <w:rStyle w:val="10"/>
                <w:lang w:val="en-US" w:eastAsia="zh-CN" w:bidi="ar"/>
              </w:rPr>
              <w:br w:type="textWrapping"/>
            </w:r>
            <w:r>
              <w:rPr>
                <w:rStyle w:val="10"/>
                <w:lang w:val="en-US" w:eastAsia="zh-CN" w:bidi="ar"/>
              </w:rPr>
              <w:t>1.对于客户经理提交材料的承诺，承诺提交邮件（官方邮箱地址）、书面（授权相关材料客户经理签字生效）等材料代表公司。</w:t>
            </w:r>
            <w:r>
              <w:rPr>
                <w:rStyle w:val="10"/>
                <w:lang w:val="en-US" w:eastAsia="zh-CN" w:bidi="ar"/>
              </w:rPr>
              <w:br w:type="textWrapping"/>
            </w:r>
            <w:r>
              <w:rPr>
                <w:rStyle w:val="10"/>
                <w:lang w:val="en-US" w:eastAsia="zh-CN" w:bidi="ar"/>
              </w:rPr>
              <w:t>2.廉洁承诺。</w:t>
            </w:r>
          </w:p>
          <w:p>
            <w:pPr>
              <w:keepNext w:val="0"/>
              <w:keepLines w:val="0"/>
              <w:widowControl/>
              <w:suppressLineNumbers w:val="0"/>
              <w:jc w:val="left"/>
              <w:textAlignment w:val="top"/>
              <w:rPr>
                <w:rStyle w:val="10"/>
                <w:lang w:val="en-US" w:eastAsia="zh-CN" w:bidi="ar"/>
              </w:rPr>
            </w:pPr>
            <w:r>
              <w:rPr>
                <w:rStyle w:val="10"/>
                <w:lang w:val="en-US" w:eastAsia="zh-CN" w:bidi="ar"/>
              </w:rPr>
              <w:br w:type="textWrapping"/>
            </w:r>
            <w:r>
              <w:rPr>
                <w:rStyle w:val="10"/>
                <w:lang w:val="en-US" w:eastAsia="zh-CN" w:bidi="ar"/>
              </w:rPr>
              <w:t xml:space="preserve">                                                                  </w:t>
            </w:r>
            <w:r>
              <w:rPr>
                <w:rStyle w:val="10"/>
                <w:rFonts w:hint="eastAsia"/>
                <w:i w:val="0"/>
                <w:iCs w:val="0"/>
                <w:color w:val="000000"/>
                <w:lang w:val="en-US" w:eastAsia="zh-CN" w:bidi="ar"/>
              </w:rPr>
              <w:t>xxxxxx</w:t>
            </w:r>
            <w:r>
              <w:rPr>
                <w:rStyle w:val="10"/>
                <w:lang w:val="en-US" w:eastAsia="zh-CN" w:bidi="ar"/>
              </w:rPr>
              <w:t xml:space="preserve">公司    </w:t>
            </w:r>
          </w:p>
          <w:p>
            <w:pPr>
              <w:keepNext w:val="0"/>
              <w:keepLines w:val="0"/>
              <w:widowControl/>
              <w:suppressLineNumbers w:val="0"/>
              <w:ind w:firstLine="7440" w:firstLineChars="3100"/>
              <w:jc w:val="left"/>
              <w:textAlignment w:val="top"/>
              <w:rPr>
                <w:rStyle w:val="10"/>
                <w:lang w:val="en-US" w:eastAsia="zh-CN" w:bidi="ar"/>
              </w:rPr>
            </w:pPr>
            <w:r>
              <w:rPr>
                <w:rStyle w:val="10"/>
                <w:lang w:val="en-US" w:eastAsia="zh-CN" w:bidi="ar"/>
              </w:rPr>
              <w:t xml:space="preserve"> xxxx年xx月xx日</w:t>
            </w:r>
          </w:p>
          <w:p>
            <w:pPr>
              <w:keepNext w:val="0"/>
              <w:keepLines w:val="0"/>
              <w:widowControl/>
              <w:suppressLineNumbers w:val="0"/>
              <w:ind w:firstLine="7440" w:firstLineChars="3100"/>
              <w:jc w:val="left"/>
              <w:textAlignment w:val="top"/>
              <w:rPr>
                <w:rStyle w:val="10"/>
                <w:rFonts w:hint="eastAsia"/>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pPr>
        <w:jc w:val="left"/>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36"/>
          <w:szCs w:val="36"/>
          <w:lang w:val="en-US" w:eastAsia="zh-CN"/>
        </w:rPr>
        <w:t>附件3</w:t>
      </w:r>
      <w:r>
        <w:rPr>
          <w:rFonts w:hint="eastAsia" w:ascii="华文中宋" w:hAnsi="华文中宋" w:eastAsia="华文中宋" w:cs="华文中宋"/>
          <w:b/>
          <w:bCs/>
          <w:sz w:val="44"/>
          <w:szCs w:val="44"/>
          <w:lang w:val="en-US" w:eastAsia="zh-CN"/>
        </w:rPr>
        <w:t xml:space="preserve">                   </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中国农业发展银行商密令牌认证系统</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ind w:firstLine="8000" w:firstLineChars="2500"/>
        <w:rPr>
          <w:rFonts w:hint="eastAsia" w:ascii="仿宋_GB2312" w:hAnsi="仿宋_GB2312" w:eastAsia="仿宋_GB2312" w:cs="仿宋_GB2312"/>
          <w:sz w:val="32"/>
          <w:szCs w:val="32"/>
          <w:lang w:val="en-US" w:eastAsia="zh-CN"/>
        </w:rPr>
      </w:pP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中国农业发展银行商密令牌认证系统项目组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410" w:firstLineChars="21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94B27"/>
    <w:rsid w:val="041E1B2E"/>
    <w:rsid w:val="04207E21"/>
    <w:rsid w:val="059726DC"/>
    <w:rsid w:val="060D1346"/>
    <w:rsid w:val="07F31A4B"/>
    <w:rsid w:val="08070A3C"/>
    <w:rsid w:val="0A9D7935"/>
    <w:rsid w:val="0B0E19F5"/>
    <w:rsid w:val="0C5D191D"/>
    <w:rsid w:val="0C9D6E83"/>
    <w:rsid w:val="0EF856B2"/>
    <w:rsid w:val="0F502EB3"/>
    <w:rsid w:val="0FDA4714"/>
    <w:rsid w:val="10191FB1"/>
    <w:rsid w:val="10E834D0"/>
    <w:rsid w:val="111057D8"/>
    <w:rsid w:val="11D85BD5"/>
    <w:rsid w:val="11E4195E"/>
    <w:rsid w:val="127C3C10"/>
    <w:rsid w:val="12C46196"/>
    <w:rsid w:val="13C1339D"/>
    <w:rsid w:val="14775224"/>
    <w:rsid w:val="14B16A0A"/>
    <w:rsid w:val="1549557C"/>
    <w:rsid w:val="158156D6"/>
    <w:rsid w:val="158342CE"/>
    <w:rsid w:val="174410B8"/>
    <w:rsid w:val="18E36FE2"/>
    <w:rsid w:val="1B6C0C0A"/>
    <w:rsid w:val="1C7A1738"/>
    <w:rsid w:val="1CA152ED"/>
    <w:rsid w:val="1DE95D13"/>
    <w:rsid w:val="1E8D306C"/>
    <w:rsid w:val="1ED27883"/>
    <w:rsid w:val="225D7134"/>
    <w:rsid w:val="22FF7959"/>
    <w:rsid w:val="23654E2A"/>
    <w:rsid w:val="239F6981"/>
    <w:rsid w:val="244D5EFF"/>
    <w:rsid w:val="24BE41DB"/>
    <w:rsid w:val="263B3FAC"/>
    <w:rsid w:val="2A706F7C"/>
    <w:rsid w:val="2D0071E9"/>
    <w:rsid w:val="2D9A5EE2"/>
    <w:rsid w:val="2DF150D1"/>
    <w:rsid w:val="2F8D6311"/>
    <w:rsid w:val="2FBE373E"/>
    <w:rsid w:val="30133643"/>
    <w:rsid w:val="316E09A9"/>
    <w:rsid w:val="329B19F0"/>
    <w:rsid w:val="3558467A"/>
    <w:rsid w:val="367C2A07"/>
    <w:rsid w:val="389C303B"/>
    <w:rsid w:val="39A20CFD"/>
    <w:rsid w:val="3A744447"/>
    <w:rsid w:val="3B3A1D75"/>
    <w:rsid w:val="3E767887"/>
    <w:rsid w:val="3E912D31"/>
    <w:rsid w:val="3F291B1B"/>
    <w:rsid w:val="406A0C1B"/>
    <w:rsid w:val="42345558"/>
    <w:rsid w:val="42550F3F"/>
    <w:rsid w:val="435D7E72"/>
    <w:rsid w:val="46DB4A26"/>
    <w:rsid w:val="470F19E8"/>
    <w:rsid w:val="47264087"/>
    <w:rsid w:val="477C23EB"/>
    <w:rsid w:val="47E56601"/>
    <w:rsid w:val="485D0000"/>
    <w:rsid w:val="49050923"/>
    <w:rsid w:val="4A2A7A00"/>
    <w:rsid w:val="4A4D5AF6"/>
    <w:rsid w:val="4B355603"/>
    <w:rsid w:val="4B637DE0"/>
    <w:rsid w:val="4C277AEC"/>
    <w:rsid w:val="4C6B2C94"/>
    <w:rsid w:val="4C9B1354"/>
    <w:rsid w:val="4CCC65AC"/>
    <w:rsid w:val="4D8220AC"/>
    <w:rsid w:val="4DF155A7"/>
    <w:rsid w:val="4FA00823"/>
    <w:rsid w:val="4FE172B0"/>
    <w:rsid w:val="50323AE1"/>
    <w:rsid w:val="50FA1B00"/>
    <w:rsid w:val="511F0E8C"/>
    <w:rsid w:val="513162CB"/>
    <w:rsid w:val="53C464A1"/>
    <w:rsid w:val="54495057"/>
    <w:rsid w:val="54F85A97"/>
    <w:rsid w:val="55032525"/>
    <w:rsid w:val="551062F6"/>
    <w:rsid w:val="556122A1"/>
    <w:rsid w:val="55AC1E33"/>
    <w:rsid w:val="583B0D6E"/>
    <w:rsid w:val="5AB741B0"/>
    <w:rsid w:val="5B1C4E27"/>
    <w:rsid w:val="5D702D19"/>
    <w:rsid w:val="5DCA670A"/>
    <w:rsid w:val="5E155FB3"/>
    <w:rsid w:val="5ECF2E97"/>
    <w:rsid w:val="5EEF5898"/>
    <w:rsid w:val="5FC4513E"/>
    <w:rsid w:val="619528A3"/>
    <w:rsid w:val="6205428E"/>
    <w:rsid w:val="63317BC9"/>
    <w:rsid w:val="63AD4BBC"/>
    <w:rsid w:val="655C25C4"/>
    <w:rsid w:val="6599299A"/>
    <w:rsid w:val="66636786"/>
    <w:rsid w:val="675D1C3B"/>
    <w:rsid w:val="67FC0443"/>
    <w:rsid w:val="68056F7D"/>
    <w:rsid w:val="68686F8D"/>
    <w:rsid w:val="698279A8"/>
    <w:rsid w:val="6CF33D87"/>
    <w:rsid w:val="6D15786D"/>
    <w:rsid w:val="6EDE54FA"/>
    <w:rsid w:val="712F24DB"/>
    <w:rsid w:val="71692951"/>
    <w:rsid w:val="73993B67"/>
    <w:rsid w:val="73A751C7"/>
    <w:rsid w:val="74981195"/>
    <w:rsid w:val="76D66D89"/>
    <w:rsid w:val="77501DCD"/>
    <w:rsid w:val="77FE511A"/>
    <w:rsid w:val="780F51F3"/>
    <w:rsid w:val="7A4024A0"/>
    <w:rsid w:val="7AD46E57"/>
    <w:rsid w:val="7B812D2B"/>
    <w:rsid w:val="7B920348"/>
    <w:rsid w:val="7C2E2576"/>
    <w:rsid w:val="7C536688"/>
    <w:rsid w:val="7D143A84"/>
    <w:rsid w:val="7D5D44AD"/>
    <w:rsid w:val="7DC30557"/>
    <w:rsid w:val="7DF80F37"/>
    <w:rsid w:val="7E7753E9"/>
    <w:rsid w:val="7E8A1644"/>
    <w:rsid w:val="7EEC1AA7"/>
    <w:rsid w:val="7FB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afterLines="0" w:line="240" w:lineRule="auto"/>
      <w:ind w:left="420" w:leftChars="200" w:firstLine="420" w:firstLineChars="200"/>
    </w:pPr>
    <w:rPr>
      <w:rFonts w:ascii="Calibri" w:hAnsi="Calibri" w:eastAsia="宋体" w:cs="Times New Roman"/>
    </w:rPr>
  </w:style>
  <w:style w:type="paragraph" w:styleId="3">
    <w:name w:val="Body Text Indent"/>
    <w:basedOn w:val="1"/>
    <w:qFormat/>
    <w:uiPriority w:val="0"/>
    <w:pPr>
      <w:spacing w:before="0" w:beforeLines="0" w:after="0" w:afterLines="0" w:line="360" w:lineRule="auto"/>
      <w:ind w:firstLine="48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_f3d98168-616f-4f3c-964b-74c382f84880.docx</Template>
  <Pages>9</Pages>
  <Words>743</Words>
  <Characters>795</Characters>
  <Lines>0</Lines>
  <Paragraphs>0</Paragraphs>
  <TotalTime>3</TotalTime>
  <ScaleCrop>false</ScaleCrop>
  <LinksUpToDate>false</LinksUpToDate>
  <CharactersWithSpaces>803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殷志强</dc:creator>
  <cp:lastModifiedBy>胡子飞</cp:lastModifiedBy>
  <cp:lastPrinted>2024-01-31T07:44:00Z</cp:lastPrinted>
  <dcterms:modified xsi:type="dcterms:W3CDTF">2025-02-19T08:54:05Z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34B3E9D3055548BBAE91DC2B72BFDB5C</vt:lpwstr>
  </property>
</Properties>
</file>